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F7614" w14:textId="77777777" w:rsidR="00202F94" w:rsidRPr="00202F94" w:rsidRDefault="00202F94" w:rsidP="00202F94">
      <w:pPr>
        <w:rPr>
          <w:rFonts w:ascii="Lato" w:hAnsi="Lato"/>
          <w:b/>
          <w:bCs/>
          <w:sz w:val="20"/>
          <w:szCs w:val="20"/>
        </w:rPr>
      </w:pPr>
      <w:r w:rsidRPr="00202F94">
        <w:rPr>
          <w:rFonts w:ascii="Lato" w:hAnsi="Lato"/>
          <w:b/>
          <w:bCs/>
          <w:sz w:val="20"/>
          <w:szCs w:val="20"/>
        </w:rPr>
        <w:t>Gender Pay Gap Report</w:t>
      </w:r>
    </w:p>
    <w:p w14:paraId="2A80B5B6" w14:textId="6332FAF4" w:rsidR="00202F94" w:rsidRPr="00202F94" w:rsidRDefault="00202F94" w:rsidP="00202F94">
      <w:pPr>
        <w:rPr>
          <w:rFonts w:ascii="Lato" w:hAnsi="Lato"/>
          <w:sz w:val="20"/>
          <w:szCs w:val="20"/>
        </w:rPr>
      </w:pPr>
      <w:r w:rsidRPr="00202F94">
        <w:rPr>
          <w:rFonts w:ascii="Lato" w:hAnsi="Lato"/>
          <w:b/>
          <w:bCs/>
          <w:sz w:val="20"/>
          <w:szCs w:val="20"/>
        </w:rPr>
        <w:t>Reporting Date:</w:t>
      </w:r>
      <w:r w:rsidRPr="00202F94">
        <w:rPr>
          <w:rFonts w:ascii="Lato" w:hAnsi="Lato"/>
          <w:sz w:val="20"/>
          <w:szCs w:val="20"/>
        </w:rPr>
        <w:t xml:space="preserve"> 30th July 2025</w:t>
      </w:r>
      <w:r w:rsidRPr="00202F94">
        <w:rPr>
          <w:rFonts w:ascii="Lato" w:hAnsi="Lato"/>
          <w:sz w:val="20"/>
          <w:szCs w:val="20"/>
        </w:rPr>
        <w:br/>
      </w:r>
      <w:r w:rsidRPr="00202F94">
        <w:rPr>
          <w:rFonts w:ascii="Lato" w:hAnsi="Lato"/>
          <w:b/>
          <w:bCs/>
          <w:sz w:val="20"/>
          <w:szCs w:val="20"/>
        </w:rPr>
        <w:t>Snapshot Date:</w:t>
      </w:r>
      <w:r w:rsidRPr="00202F94">
        <w:rPr>
          <w:rFonts w:ascii="Lato" w:hAnsi="Lato"/>
          <w:sz w:val="20"/>
          <w:szCs w:val="20"/>
        </w:rPr>
        <w:t xml:space="preserve"> 13th June 2025</w:t>
      </w:r>
      <w:r w:rsidRPr="00202F94">
        <w:rPr>
          <w:rFonts w:ascii="Lato" w:hAnsi="Lato"/>
          <w:sz w:val="20"/>
          <w:szCs w:val="20"/>
        </w:rPr>
        <w:br/>
      </w:r>
      <w:r w:rsidRPr="00202F94">
        <w:rPr>
          <w:rFonts w:ascii="Lato" w:hAnsi="Lato"/>
          <w:b/>
          <w:bCs/>
          <w:sz w:val="20"/>
          <w:szCs w:val="20"/>
        </w:rPr>
        <w:t>Reporting Period:</w:t>
      </w:r>
      <w:r w:rsidRPr="00202F94">
        <w:rPr>
          <w:rFonts w:ascii="Lato" w:hAnsi="Lato"/>
          <w:sz w:val="20"/>
          <w:szCs w:val="20"/>
        </w:rPr>
        <w:t xml:space="preserve"> July 2024 – June 2025</w:t>
      </w:r>
    </w:p>
    <w:p w14:paraId="60526ABB" w14:textId="77777777" w:rsidR="00202F94" w:rsidRPr="00202F94" w:rsidRDefault="00202F94" w:rsidP="00202F94">
      <w:pPr>
        <w:rPr>
          <w:rFonts w:ascii="Lato" w:hAnsi="Lato"/>
          <w:sz w:val="20"/>
          <w:szCs w:val="20"/>
        </w:rPr>
      </w:pPr>
    </w:p>
    <w:p w14:paraId="26C7C4C9" w14:textId="77777777" w:rsidR="00202F94" w:rsidRPr="00202F94" w:rsidRDefault="00202F94" w:rsidP="00202F94">
      <w:pPr>
        <w:jc w:val="both"/>
        <w:rPr>
          <w:rFonts w:ascii="Lato" w:hAnsi="Lato"/>
          <w:b/>
          <w:bCs/>
          <w:sz w:val="20"/>
          <w:szCs w:val="20"/>
        </w:rPr>
      </w:pPr>
      <w:r w:rsidRPr="00202F94">
        <w:rPr>
          <w:rFonts w:ascii="Lato" w:hAnsi="Lato"/>
          <w:b/>
          <w:bCs/>
          <w:sz w:val="20"/>
          <w:szCs w:val="20"/>
        </w:rPr>
        <w:t>1. Introduction</w:t>
      </w:r>
    </w:p>
    <w:p w14:paraId="58D5194D" w14:textId="77777777" w:rsidR="00202F94" w:rsidRPr="00202F94" w:rsidRDefault="00202F94" w:rsidP="00202F94">
      <w:pPr>
        <w:jc w:val="both"/>
        <w:rPr>
          <w:rFonts w:ascii="Lato" w:hAnsi="Lato"/>
          <w:sz w:val="20"/>
          <w:szCs w:val="20"/>
        </w:rPr>
      </w:pPr>
      <w:r w:rsidRPr="00202F94">
        <w:rPr>
          <w:rFonts w:ascii="Lato" w:hAnsi="Lato"/>
          <w:sz w:val="20"/>
          <w:szCs w:val="20"/>
        </w:rPr>
        <w:t>In line with the Gender Pay Gap Information Act 2021 and associated regulations, we are pleased to publish our Gender Pay Gap Report for the reference date of 13th June 2025.</w:t>
      </w:r>
    </w:p>
    <w:p w14:paraId="4DAD3C25" w14:textId="54D56405" w:rsidR="00202F94" w:rsidRPr="00202F94" w:rsidRDefault="00202F94" w:rsidP="00202F94">
      <w:pPr>
        <w:jc w:val="both"/>
        <w:rPr>
          <w:rFonts w:ascii="Lato" w:hAnsi="Lato"/>
          <w:sz w:val="20"/>
          <w:szCs w:val="20"/>
        </w:rPr>
      </w:pPr>
      <w:r w:rsidRPr="00202F94">
        <w:rPr>
          <w:rFonts w:ascii="Lato" w:hAnsi="Lato"/>
          <w:sz w:val="20"/>
          <w:szCs w:val="20"/>
        </w:rPr>
        <w:t>This report outlines pay gap metrics for the 12-month period ending on this date and includes employees across all departments and contract types. The gender pay gap refers to the difference in the average hourly earnings of men and women across a workforce, expressed as a percentage of average male earnings. It compares the overall pay of all male and all female employees — not just those performing the same roles or with equivalent experience, qualifications, or working patterns.</w:t>
      </w:r>
    </w:p>
    <w:p w14:paraId="09E936FB" w14:textId="77777777" w:rsidR="00202F94" w:rsidRPr="00202F94" w:rsidRDefault="00202F94" w:rsidP="00202F94">
      <w:pPr>
        <w:rPr>
          <w:rFonts w:ascii="Lato" w:hAnsi="Lato"/>
          <w:b/>
          <w:bCs/>
          <w:sz w:val="20"/>
          <w:szCs w:val="20"/>
        </w:rPr>
      </w:pPr>
      <w:r w:rsidRPr="00202F94">
        <w:rPr>
          <w:rFonts w:ascii="Lato" w:hAnsi="Lato"/>
          <w:b/>
          <w:bCs/>
          <w:sz w:val="20"/>
          <w:szCs w:val="20"/>
        </w:rPr>
        <w:t>2. Workforce Overview</w:t>
      </w:r>
    </w:p>
    <w:p w14:paraId="52EEF600" w14:textId="3BC92BB6" w:rsidR="00202F94" w:rsidRPr="00202F94" w:rsidRDefault="00202F94" w:rsidP="00202F94">
      <w:pPr>
        <w:rPr>
          <w:rFonts w:ascii="Lato" w:hAnsi="Lato"/>
          <w:sz w:val="20"/>
          <w:szCs w:val="20"/>
        </w:rPr>
      </w:pPr>
      <w:r w:rsidRPr="00202F94">
        <w:rPr>
          <w:rFonts w:ascii="Lato" w:hAnsi="Lato"/>
          <w:b/>
          <w:bCs/>
          <w:sz w:val="20"/>
          <w:szCs w:val="20"/>
        </w:rPr>
        <w:t>Total number of employees (as of 1</w:t>
      </w:r>
      <w:r w:rsidR="004D50C9">
        <w:rPr>
          <w:rFonts w:ascii="Lato" w:hAnsi="Lato"/>
          <w:b/>
          <w:bCs/>
          <w:sz w:val="20"/>
          <w:szCs w:val="20"/>
        </w:rPr>
        <w:t>3</w:t>
      </w:r>
      <w:r w:rsidRPr="00202F94">
        <w:rPr>
          <w:rFonts w:ascii="Lato" w:hAnsi="Lato"/>
          <w:b/>
          <w:bCs/>
          <w:sz w:val="20"/>
          <w:szCs w:val="20"/>
        </w:rPr>
        <w:t>th June 2025): 181</w:t>
      </w:r>
    </w:p>
    <w:p w14:paraId="34604E65" w14:textId="77777777" w:rsidR="00202F94" w:rsidRPr="00202F94" w:rsidRDefault="00202F94" w:rsidP="00202F94">
      <w:pPr>
        <w:rPr>
          <w:rFonts w:ascii="Lato" w:hAnsi="Lato"/>
          <w:b/>
          <w:bCs/>
          <w:sz w:val="20"/>
          <w:szCs w:val="20"/>
        </w:rPr>
      </w:pPr>
      <w:r w:rsidRPr="00202F94">
        <w:rPr>
          <w:rFonts w:ascii="Lato" w:hAnsi="Lato"/>
          <w:b/>
          <w:bCs/>
          <w:sz w:val="20"/>
          <w:szCs w:val="20"/>
        </w:rPr>
        <w:t>Breakdown by Pay Quartiles: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73"/>
        <w:gridCol w:w="812"/>
        <w:gridCol w:w="1102"/>
        <w:gridCol w:w="919"/>
        <w:gridCol w:w="1215"/>
      </w:tblGrid>
      <w:tr w:rsidR="004D50C9" w:rsidRPr="00202F94" w14:paraId="0B48D225" w14:textId="77777777" w:rsidTr="004D50C9">
        <w:trPr>
          <w:trHeight w:val="395"/>
          <w:tblHeader/>
          <w:tblCellSpacing w:w="15" w:type="dxa"/>
        </w:trPr>
        <w:tc>
          <w:tcPr>
            <w:tcW w:w="1628" w:type="dxa"/>
            <w:vAlign w:val="center"/>
            <w:hideMark/>
          </w:tcPr>
          <w:p w14:paraId="6DAC3DD9" w14:textId="77777777" w:rsidR="00202F94" w:rsidRPr="00202F94" w:rsidRDefault="00202F94" w:rsidP="00202F94">
            <w:pPr>
              <w:rPr>
                <w:rFonts w:ascii="Lato" w:hAnsi="Lato"/>
                <w:b/>
                <w:bCs/>
                <w:sz w:val="18"/>
                <w:szCs w:val="18"/>
              </w:rPr>
            </w:pPr>
            <w:r w:rsidRPr="00202F94">
              <w:rPr>
                <w:rFonts w:ascii="Lato" w:hAnsi="Lato"/>
                <w:b/>
                <w:bCs/>
                <w:sz w:val="18"/>
                <w:szCs w:val="18"/>
              </w:rPr>
              <w:t>Pay Quartile</w:t>
            </w:r>
          </w:p>
        </w:tc>
        <w:tc>
          <w:tcPr>
            <w:tcW w:w="782" w:type="dxa"/>
            <w:vAlign w:val="center"/>
            <w:hideMark/>
          </w:tcPr>
          <w:p w14:paraId="03CDA0C7" w14:textId="77777777" w:rsidR="00202F94" w:rsidRPr="00202F94" w:rsidRDefault="00202F94" w:rsidP="00202F94">
            <w:pPr>
              <w:rPr>
                <w:rFonts w:ascii="Lato" w:hAnsi="Lato"/>
                <w:b/>
                <w:bCs/>
                <w:sz w:val="18"/>
                <w:szCs w:val="18"/>
              </w:rPr>
            </w:pPr>
            <w:r w:rsidRPr="00202F94">
              <w:rPr>
                <w:rFonts w:ascii="Lato" w:hAnsi="Lato"/>
                <w:b/>
                <w:bCs/>
                <w:sz w:val="18"/>
                <w:szCs w:val="18"/>
              </w:rPr>
              <w:t>Male</w:t>
            </w:r>
          </w:p>
        </w:tc>
        <w:tc>
          <w:tcPr>
            <w:tcW w:w="1072" w:type="dxa"/>
            <w:vAlign w:val="center"/>
            <w:hideMark/>
          </w:tcPr>
          <w:p w14:paraId="029D97FC" w14:textId="77777777" w:rsidR="00202F94" w:rsidRPr="00202F94" w:rsidRDefault="00202F94" w:rsidP="00202F94">
            <w:pPr>
              <w:rPr>
                <w:rFonts w:ascii="Lato" w:hAnsi="Lato"/>
                <w:b/>
                <w:bCs/>
                <w:sz w:val="18"/>
                <w:szCs w:val="18"/>
              </w:rPr>
            </w:pPr>
            <w:r w:rsidRPr="00202F94">
              <w:rPr>
                <w:rFonts w:ascii="Lato" w:hAnsi="Lato"/>
                <w:b/>
                <w:bCs/>
                <w:sz w:val="18"/>
                <w:szCs w:val="18"/>
              </w:rPr>
              <w:t>% Male</w:t>
            </w:r>
          </w:p>
        </w:tc>
        <w:tc>
          <w:tcPr>
            <w:tcW w:w="889" w:type="dxa"/>
            <w:vAlign w:val="center"/>
            <w:hideMark/>
          </w:tcPr>
          <w:p w14:paraId="72DC6008" w14:textId="77777777" w:rsidR="00202F94" w:rsidRPr="00202F94" w:rsidRDefault="00202F94" w:rsidP="00202F94">
            <w:pPr>
              <w:rPr>
                <w:rFonts w:ascii="Lato" w:hAnsi="Lato"/>
                <w:b/>
                <w:bCs/>
                <w:sz w:val="18"/>
                <w:szCs w:val="18"/>
              </w:rPr>
            </w:pPr>
            <w:r w:rsidRPr="00202F94">
              <w:rPr>
                <w:rFonts w:ascii="Lato" w:hAnsi="Lato"/>
                <w:b/>
                <w:bCs/>
                <w:sz w:val="18"/>
                <w:szCs w:val="18"/>
              </w:rPr>
              <w:t>Female</w:t>
            </w:r>
          </w:p>
        </w:tc>
        <w:tc>
          <w:tcPr>
            <w:tcW w:w="1170" w:type="dxa"/>
            <w:vAlign w:val="center"/>
            <w:hideMark/>
          </w:tcPr>
          <w:p w14:paraId="0B5D09AC" w14:textId="77777777" w:rsidR="00202F94" w:rsidRPr="00202F94" w:rsidRDefault="00202F94" w:rsidP="00202F94">
            <w:pPr>
              <w:rPr>
                <w:rFonts w:ascii="Lato" w:hAnsi="Lato"/>
                <w:b/>
                <w:bCs/>
                <w:sz w:val="18"/>
                <w:szCs w:val="18"/>
              </w:rPr>
            </w:pPr>
            <w:r w:rsidRPr="00202F94">
              <w:rPr>
                <w:rFonts w:ascii="Lato" w:hAnsi="Lato"/>
                <w:b/>
                <w:bCs/>
                <w:sz w:val="18"/>
                <w:szCs w:val="18"/>
              </w:rPr>
              <w:t>% Female</w:t>
            </w:r>
          </w:p>
        </w:tc>
      </w:tr>
      <w:tr w:rsidR="004D50C9" w:rsidRPr="00202F94" w14:paraId="33A3B5D0" w14:textId="77777777" w:rsidTr="004D50C9">
        <w:trPr>
          <w:trHeight w:val="395"/>
          <w:tblCellSpacing w:w="15" w:type="dxa"/>
        </w:trPr>
        <w:tc>
          <w:tcPr>
            <w:tcW w:w="1628" w:type="dxa"/>
            <w:vAlign w:val="center"/>
            <w:hideMark/>
          </w:tcPr>
          <w:p w14:paraId="03B293F0" w14:textId="77777777" w:rsidR="00202F94" w:rsidRPr="00202F94" w:rsidRDefault="00202F94" w:rsidP="00202F94">
            <w:pPr>
              <w:rPr>
                <w:rFonts w:ascii="Lato" w:hAnsi="Lato"/>
                <w:sz w:val="18"/>
                <w:szCs w:val="18"/>
              </w:rPr>
            </w:pPr>
            <w:r w:rsidRPr="00202F94">
              <w:rPr>
                <w:rFonts w:ascii="Lato" w:hAnsi="Lato"/>
                <w:sz w:val="18"/>
                <w:szCs w:val="18"/>
              </w:rPr>
              <w:t>Lower</w:t>
            </w:r>
          </w:p>
        </w:tc>
        <w:tc>
          <w:tcPr>
            <w:tcW w:w="782" w:type="dxa"/>
            <w:vAlign w:val="center"/>
            <w:hideMark/>
          </w:tcPr>
          <w:p w14:paraId="74E1FE07" w14:textId="77777777" w:rsidR="00202F94" w:rsidRPr="00202F94" w:rsidRDefault="00202F94" w:rsidP="00202F94">
            <w:pPr>
              <w:rPr>
                <w:rFonts w:ascii="Lato" w:hAnsi="Lato"/>
                <w:sz w:val="18"/>
                <w:szCs w:val="18"/>
              </w:rPr>
            </w:pPr>
            <w:r w:rsidRPr="00202F94">
              <w:rPr>
                <w:rFonts w:ascii="Lato" w:hAnsi="Lato"/>
                <w:sz w:val="18"/>
                <w:szCs w:val="18"/>
              </w:rPr>
              <w:t>22</w:t>
            </w:r>
          </w:p>
        </w:tc>
        <w:tc>
          <w:tcPr>
            <w:tcW w:w="1072" w:type="dxa"/>
            <w:vAlign w:val="center"/>
            <w:hideMark/>
          </w:tcPr>
          <w:p w14:paraId="1CDB5A51" w14:textId="77777777" w:rsidR="00202F94" w:rsidRPr="00202F94" w:rsidRDefault="00202F94" w:rsidP="00202F94">
            <w:pPr>
              <w:rPr>
                <w:rFonts w:ascii="Lato" w:hAnsi="Lato"/>
                <w:sz w:val="18"/>
                <w:szCs w:val="18"/>
              </w:rPr>
            </w:pPr>
            <w:r w:rsidRPr="00202F94">
              <w:rPr>
                <w:rFonts w:ascii="Lato" w:hAnsi="Lato"/>
                <w:sz w:val="18"/>
                <w:szCs w:val="18"/>
              </w:rPr>
              <w:t>48.89%</w:t>
            </w:r>
          </w:p>
        </w:tc>
        <w:tc>
          <w:tcPr>
            <w:tcW w:w="889" w:type="dxa"/>
            <w:vAlign w:val="center"/>
            <w:hideMark/>
          </w:tcPr>
          <w:p w14:paraId="26248E00" w14:textId="77777777" w:rsidR="00202F94" w:rsidRPr="00202F94" w:rsidRDefault="00202F94" w:rsidP="00202F94">
            <w:pPr>
              <w:rPr>
                <w:rFonts w:ascii="Lato" w:hAnsi="Lato"/>
                <w:sz w:val="18"/>
                <w:szCs w:val="18"/>
              </w:rPr>
            </w:pPr>
            <w:r w:rsidRPr="00202F94">
              <w:rPr>
                <w:rFonts w:ascii="Lato" w:hAnsi="Lato"/>
                <w:sz w:val="18"/>
                <w:szCs w:val="18"/>
              </w:rPr>
              <w:t>23</w:t>
            </w:r>
          </w:p>
        </w:tc>
        <w:tc>
          <w:tcPr>
            <w:tcW w:w="1170" w:type="dxa"/>
            <w:vAlign w:val="center"/>
            <w:hideMark/>
          </w:tcPr>
          <w:p w14:paraId="63684ECB" w14:textId="77777777" w:rsidR="00202F94" w:rsidRPr="00202F94" w:rsidRDefault="00202F94" w:rsidP="00202F94">
            <w:pPr>
              <w:rPr>
                <w:rFonts w:ascii="Lato" w:hAnsi="Lato"/>
                <w:sz w:val="18"/>
                <w:szCs w:val="18"/>
              </w:rPr>
            </w:pPr>
            <w:r w:rsidRPr="00202F94">
              <w:rPr>
                <w:rFonts w:ascii="Lato" w:hAnsi="Lato"/>
                <w:sz w:val="18"/>
                <w:szCs w:val="18"/>
              </w:rPr>
              <w:t>51.11%</w:t>
            </w:r>
          </w:p>
        </w:tc>
      </w:tr>
      <w:tr w:rsidR="004D50C9" w:rsidRPr="00202F94" w14:paraId="251383AF" w14:textId="77777777" w:rsidTr="004D50C9">
        <w:trPr>
          <w:trHeight w:val="410"/>
          <w:tblCellSpacing w:w="15" w:type="dxa"/>
        </w:trPr>
        <w:tc>
          <w:tcPr>
            <w:tcW w:w="1628" w:type="dxa"/>
            <w:vAlign w:val="center"/>
            <w:hideMark/>
          </w:tcPr>
          <w:p w14:paraId="2A82ADE7" w14:textId="77777777" w:rsidR="00202F94" w:rsidRPr="00202F94" w:rsidRDefault="00202F94" w:rsidP="00202F94">
            <w:pPr>
              <w:rPr>
                <w:rFonts w:ascii="Lato" w:hAnsi="Lato"/>
                <w:sz w:val="18"/>
                <w:szCs w:val="18"/>
              </w:rPr>
            </w:pPr>
            <w:r w:rsidRPr="00202F94">
              <w:rPr>
                <w:rFonts w:ascii="Lato" w:hAnsi="Lato"/>
                <w:sz w:val="18"/>
                <w:szCs w:val="18"/>
              </w:rPr>
              <w:t>Lower Middle</w:t>
            </w:r>
          </w:p>
        </w:tc>
        <w:tc>
          <w:tcPr>
            <w:tcW w:w="782" w:type="dxa"/>
            <w:vAlign w:val="center"/>
            <w:hideMark/>
          </w:tcPr>
          <w:p w14:paraId="72563960" w14:textId="77777777" w:rsidR="00202F94" w:rsidRPr="00202F94" w:rsidRDefault="00202F94" w:rsidP="00202F94">
            <w:pPr>
              <w:rPr>
                <w:rFonts w:ascii="Lato" w:hAnsi="Lato"/>
                <w:sz w:val="18"/>
                <w:szCs w:val="18"/>
              </w:rPr>
            </w:pPr>
            <w:r w:rsidRPr="00202F94">
              <w:rPr>
                <w:rFonts w:ascii="Lato" w:hAnsi="Lato"/>
                <w:sz w:val="18"/>
                <w:szCs w:val="18"/>
              </w:rPr>
              <w:t>20</w:t>
            </w:r>
          </w:p>
        </w:tc>
        <w:tc>
          <w:tcPr>
            <w:tcW w:w="1072" w:type="dxa"/>
            <w:vAlign w:val="center"/>
            <w:hideMark/>
          </w:tcPr>
          <w:p w14:paraId="70E41C7F" w14:textId="77777777" w:rsidR="00202F94" w:rsidRPr="00202F94" w:rsidRDefault="00202F94" w:rsidP="00202F94">
            <w:pPr>
              <w:rPr>
                <w:rFonts w:ascii="Lato" w:hAnsi="Lato"/>
                <w:sz w:val="18"/>
                <w:szCs w:val="18"/>
              </w:rPr>
            </w:pPr>
            <w:r w:rsidRPr="00202F94">
              <w:rPr>
                <w:rFonts w:ascii="Lato" w:hAnsi="Lato"/>
                <w:sz w:val="18"/>
                <w:szCs w:val="18"/>
              </w:rPr>
              <w:t>44.44%</w:t>
            </w:r>
          </w:p>
        </w:tc>
        <w:tc>
          <w:tcPr>
            <w:tcW w:w="889" w:type="dxa"/>
            <w:vAlign w:val="center"/>
            <w:hideMark/>
          </w:tcPr>
          <w:p w14:paraId="7A262174" w14:textId="77777777" w:rsidR="00202F94" w:rsidRPr="00202F94" w:rsidRDefault="00202F94" w:rsidP="00202F94">
            <w:pPr>
              <w:rPr>
                <w:rFonts w:ascii="Lato" w:hAnsi="Lato"/>
                <w:sz w:val="18"/>
                <w:szCs w:val="18"/>
              </w:rPr>
            </w:pPr>
            <w:r w:rsidRPr="00202F94">
              <w:rPr>
                <w:rFonts w:ascii="Lato" w:hAnsi="Lato"/>
                <w:sz w:val="18"/>
                <w:szCs w:val="18"/>
              </w:rPr>
              <w:t>25</w:t>
            </w:r>
          </w:p>
        </w:tc>
        <w:tc>
          <w:tcPr>
            <w:tcW w:w="1170" w:type="dxa"/>
            <w:vAlign w:val="center"/>
            <w:hideMark/>
          </w:tcPr>
          <w:p w14:paraId="23DE5FF2" w14:textId="77777777" w:rsidR="00202F94" w:rsidRPr="00202F94" w:rsidRDefault="00202F94" w:rsidP="00202F94">
            <w:pPr>
              <w:rPr>
                <w:rFonts w:ascii="Lato" w:hAnsi="Lato"/>
                <w:sz w:val="18"/>
                <w:szCs w:val="18"/>
              </w:rPr>
            </w:pPr>
            <w:r w:rsidRPr="00202F94">
              <w:rPr>
                <w:rFonts w:ascii="Lato" w:hAnsi="Lato"/>
                <w:sz w:val="18"/>
                <w:szCs w:val="18"/>
              </w:rPr>
              <w:t>55.56%</w:t>
            </w:r>
          </w:p>
        </w:tc>
      </w:tr>
      <w:tr w:rsidR="004D50C9" w:rsidRPr="00202F94" w14:paraId="08EDF78A" w14:textId="77777777" w:rsidTr="004D50C9">
        <w:trPr>
          <w:trHeight w:val="395"/>
          <w:tblCellSpacing w:w="15" w:type="dxa"/>
        </w:trPr>
        <w:tc>
          <w:tcPr>
            <w:tcW w:w="1628" w:type="dxa"/>
            <w:vAlign w:val="center"/>
            <w:hideMark/>
          </w:tcPr>
          <w:p w14:paraId="78AF8FF6" w14:textId="77777777" w:rsidR="00202F94" w:rsidRPr="00202F94" w:rsidRDefault="00202F94" w:rsidP="00202F94">
            <w:pPr>
              <w:rPr>
                <w:rFonts w:ascii="Lato" w:hAnsi="Lato"/>
                <w:sz w:val="18"/>
                <w:szCs w:val="18"/>
              </w:rPr>
            </w:pPr>
            <w:r w:rsidRPr="00202F94">
              <w:rPr>
                <w:rFonts w:ascii="Lato" w:hAnsi="Lato"/>
                <w:sz w:val="18"/>
                <w:szCs w:val="18"/>
              </w:rPr>
              <w:t>Upper Middle</w:t>
            </w:r>
          </w:p>
        </w:tc>
        <w:tc>
          <w:tcPr>
            <w:tcW w:w="782" w:type="dxa"/>
            <w:vAlign w:val="center"/>
            <w:hideMark/>
          </w:tcPr>
          <w:p w14:paraId="0232C3D6" w14:textId="77777777" w:rsidR="00202F94" w:rsidRPr="00202F94" w:rsidRDefault="00202F94" w:rsidP="00202F94">
            <w:pPr>
              <w:rPr>
                <w:rFonts w:ascii="Lato" w:hAnsi="Lato"/>
                <w:sz w:val="18"/>
                <w:szCs w:val="18"/>
              </w:rPr>
            </w:pPr>
            <w:r w:rsidRPr="00202F94">
              <w:rPr>
                <w:rFonts w:ascii="Lato" w:hAnsi="Lato"/>
                <w:sz w:val="18"/>
                <w:szCs w:val="18"/>
              </w:rPr>
              <w:t>19</w:t>
            </w:r>
          </w:p>
        </w:tc>
        <w:tc>
          <w:tcPr>
            <w:tcW w:w="1072" w:type="dxa"/>
            <w:vAlign w:val="center"/>
            <w:hideMark/>
          </w:tcPr>
          <w:p w14:paraId="708F98C5" w14:textId="77777777" w:rsidR="00202F94" w:rsidRPr="00202F94" w:rsidRDefault="00202F94" w:rsidP="00202F94">
            <w:pPr>
              <w:rPr>
                <w:rFonts w:ascii="Lato" w:hAnsi="Lato"/>
                <w:sz w:val="18"/>
                <w:szCs w:val="18"/>
              </w:rPr>
            </w:pPr>
            <w:r w:rsidRPr="00202F94">
              <w:rPr>
                <w:rFonts w:ascii="Lato" w:hAnsi="Lato"/>
                <w:sz w:val="18"/>
                <w:szCs w:val="18"/>
              </w:rPr>
              <w:t>41.30%</w:t>
            </w:r>
          </w:p>
        </w:tc>
        <w:tc>
          <w:tcPr>
            <w:tcW w:w="889" w:type="dxa"/>
            <w:vAlign w:val="center"/>
            <w:hideMark/>
          </w:tcPr>
          <w:p w14:paraId="4FE4A7F7" w14:textId="77777777" w:rsidR="00202F94" w:rsidRPr="00202F94" w:rsidRDefault="00202F94" w:rsidP="00202F94">
            <w:pPr>
              <w:rPr>
                <w:rFonts w:ascii="Lato" w:hAnsi="Lato"/>
                <w:sz w:val="18"/>
                <w:szCs w:val="18"/>
              </w:rPr>
            </w:pPr>
            <w:r w:rsidRPr="00202F94">
              <w:rPr>
                <w:rFonts w:ascii="Lato" w:hAnsi="Lato"/>
                <w:sz w:val="18"/>
                <w:szCs w:val="18"/>
              </w:rPr>
              <w:t>27</w:t>
            </w:r>
          </w:p>
        </w:tc>
        <w:tc>
          <w:tcPr>
            <w:tcW w:w="1170" w:type="dxa"/>
            <w:vAlign w:val="center"/>
            <w:hideMark/>
          </w:tcPr>
          <w:p w14:paraId="120C9CF4" w14:textId="77777777" w:rsidR="00202F94" w:rsidRPr="00202F94" w:rsidRDefault="00202F94" w:rsidP="00202F94">
            <w:pPr>
              <w:rPr>
                <w:rFonts w:ascii="Lato" w:hAnsi="Lato"/>
                <w:sz w:val="18"/>
                <w:szCs w:val="18"/>
              </w:rPr>
            </w:pPr>
            <w:r w:rsidRPr="00202F94">
              <w:rPr>
                <w:rFonts w:ascii="Lato" w:hAnsi="Lato"/>
                <w:sz w:val="18"/>
                <w:szCs w:val="18"/>
              </w:rPr>
              <w:t>58.70%</w:t>
            </w:r>
          </w:p>
        </w:tc>
      </w:tr>
      <w:tr w:rsidR="004D50C9" w:rsidRPr="00202F94" w14:paraId="1EC9EA36" w14:textId="77777777" w:rsidTr="004D50C9">
        <w:trPr>
          <w:trHeight w:val="395"/>
          <w:tblCellSpacing w:w="15" w:type="dxa"/>
        </w:trPr>
        <w:tc>
          <w:tcPr>
            <w:tcW w:w="1628" w:type="dxa"/>
            <w:vAlign w:val="center"/>
            <w:hideMark/>
          </w:tcPr>
          <w:p w14:paraId="2C3E13C5" w14:textId="77777777" w:rsidR="00202F94" w:rsidRPr="00202F94" w:rsidRDefault="00202F94" w:rsidP="00202F94">
            <w:pPr>
              <w:rPr>
                <w:rFonts w:ascii="Lato" w:hAnsi="Lato"/>
                <w:sz w:val="18"/>
                <w:szCs w:val="18"/>
              </w:rPr>
            </w:pPr>
            <w:r w:rsidRPr="00202F94">
              <w:rPr>
                <w:rFonts w:ascii="Lato" w:hAnsi="Lato"/>
                <w:sz w:val="18"/>
                <w:szCs w:val="18"/>
              </w:rPr>
              <w:t>Upper</w:t>
            </w:r>
          </w:p>
        </w:tc>
        <w:tc>
          <w:tcPr>
            <w:tcW w:w="782" w:type="dxa"/>
            <w:vAlign w:val="center"/>
            <w:hideMark/>
          </w:tcPr>
          <w:p w14:paraId="64892D9A" w14:textId="77777777" w:rsidR="00202F94" w:rsidRPr="00202F94" w:rsidRDefault="00202F94" w:rsidP="00202F94">
            <w:pPr>
              <w:rPr>
                <w:rFonts w:ascii="Lato" w:hAnsi="Lato"/>
                <w:sz w:val="18"/>
                <w:szCs w:val="18"/>
              </w:rPr>
            </w:pPr>
            <w:r w:rsidRPr="00202F94">
              <w:rPr>
                <w:rFonts w:ascii="Lato" w:hAnsi="Lato"/>
                <w:sz w:val="18"/>
                <w:szCs w:val="18"/>
              </w:rPr>
              <w:t>20</w:t>
            </w:r>
          </w:p>
        </w:tc>
        <w:tc>
          <w:tcPr>
            <w:tcW w:w="1072" w:type="dxa"/>
            <w:vAlign w:val="center"/>
            <w:hideMark/>
          </w:tcPr>
          <w:p w14:paraId="7DA76042" w14:textId="77777777" w:rsidR="00202F94" w:rsidRPr="00202F94" w:rsidRDefault="00202F94" w:rsidP="00202F94">
            <w:pPr>
              <w:rPr>
                <w:rFonts w:ascii="Lato" w:hAnsi="Lato"/>
                <w:sz w:val="18"/>
                <w:szCs w:val="18"/>
              </w:rPr>
            </w:pPr>
            <w:r w:rsidRPr="00202F94">
              <w:rPr>
                <w:rFonts w:ascii="Lato" w:hAnsi="Lato"/>
                <w:sz w:val="18"/>
                <w:szCs w:val="18"/>
              </w:rPr>
              <w:t>44.44%</w:t>
            </w:r>
          </w:p>
        </w:tc>
        <w:tc>
          <w:tcPr>
            <w:tcW w:w="889" w:type="dxa"/>
            <w:vAlign w:val="center"/>
            <w:hideMark/>
          </w:tcPr>
          <w:p w14:paraId="1924B2B9" w14:textId="77777777" w:rsidR="00202F94" w:rsidRPr="00202F94" w:rsidRDefault="00202F94" w:rsidP="00202F94">
            <w:pPr>
              <w:rPr>
                <w:rFonts w:ascii="Lato" w:hAnsi="Lato"/>
                <w:sz w:val="18"/>
                <w:szCs w:val="18"/>
              </w:rPr>
            </w:pPr>
            <w:r w:rsidRPr="00202F94">
              <w:rPr>
                <w:rFonts w:ascii="Lato" w:hAnsi="Lato"/>
                <w:sz w:val="18"/>
                <w:szCs w:val="18"/>
              </w:rPr>
              <w:t>25</w:t>
            </w:r>
          </w:p>
        </w:tc>
        <w:tc>
          <w:tcPr>
            <w:tcW w:w="1170" w:type="dxa"/>
            <w:vAlign w:val="center"/>
            <w:hideMark/>
          </w:tcPr>
          <w:p w14:paraId="2FE928AB" w14:textId="77777777" w:rsidR="00202F94" w:rsidRPr="00202F94" w:rsidRDefault="00202F94" w:rsidP="00202F94">
            <w:pPr>
              <w:rPr>
                <w:rFonts w:ascii="Lato" w:hAnsi="Lato"/>
                <w:sz w:val="18"/>
                <w:szCs w:val="18"/>
              </w:rPr>
            </w:pPr>
            <w:r w:rsidRPr="00202F94">
              <w:rPr>
                <w:rFonts w:ascii="Lato" w:hAnsi="Lato"/>
                <w:sz w:val="18"/>
                <w:szCs w:val="18"/>
              </w:rPr>
              <w:t>55.56%</w:t>
            </w:r>
          </w:p>
        </w:tc>
      </w:tr>
    </w:tbl>
    <w:p w14:paraId="432AD509" w14:textId="3BA8051E" w:rsidR="00202F94" w:rsidRPr="00202F94" w:rsidRDefault="00202F94" w:rsidP="00202F94">
      <w:pPr>
        <w:rPr>
          <w:rFonts w:ascii="Lato" w:hAnsi="Lato"/>
          <w:sz w:val="20"/>
          <w:szCs w:val="20"/>
        </w:rPr>
      </w:pPr>
    </w:p>
    <w:p w14:paraId="5D3B95AE" w14:textId="77777777" w:rsidR="00202F94" w:rsidRPr="00202F94" w:rsidRDefault="00202F94" w:rsidP="00202F94">
      <w:pPr>
        <w:rPr>
          <w:rFonts w:ascii="Lato" w:hAnsi="Lato"/>
          <w:b/>
          <w:bCs/>
          <w:sz w:val="20"/>
          <w:szCs w:val="20"/>
        </w:rPr>
      </w:pPr>
      <w:r w:rsidRPr="00202F94">
        <w:rPr>
          <w:rFonts w:ascii="Lato" w:hAnsi="Lato"/>
          <w:b/>
          <w:bCs/>
          <w:sz w:val="20"/>
          <w:szCs w:val="20"/>
        </w:rPr>
        <w:t>3. Bonus and Benefits in Kind</w:t>
      </w:r>
    </w:p>
    <w:p w14:paraId="51EA2521" w14:textId="77777777" w:rsidR="00202F94" w:rsidRPr="00202F94" w:rsidRDefault="00202F94" w:rsidP="00202F94">
      <w:pPr>
        <w:numPr>
          <w:ilvl w:val="0"/>
          <w:numId w:val="1"/>
        </w:numPr>
        <w:rPr>
          <w:rFonts w:ascii="Lato" w:hAnsi="Lato"/>
          <w:sz w:val="20"/>
          <w:szCs w:val="20"/>
        </w:rPr>
      </w:pPr>
      <w:r w:rsidRPr="00202F94">
        <w:rPr>
          <w:rFonts w:ascii="Lato" w:hAnsi="Lato"/>
          <w:b/>
          <w:bCs/>
          <w:sz w:val="20"/>
          <w:szCs w:val="20"/>
        </w:rPr>
        <w:t>Bonus Payments:</w:t>
      </w:r>
      <w:r w:rsidRPr="00202F94">
        <w:rPr>
          <w:rFonts w:ascii="Lato" w:hAnsi="Lato"/>
          <w:sz w:val="20"/>
          <w:szCs w:val="20"/>
        </w:rPr>
        <w:br/>
        <w:t>No employees received a bonus during the reporting period.</w:t>
      </w:r>
    </w:p>
    <w:p w14:paraId="1E9F3291" w14:textId="2E30AD7A" w:rsidR="00202F94" w:rsidRPr="00202F94" w:rsidRDefault="00202F94" w:rsidP="00202F94">
      <w:pPr>
        <w:numPr>
          <w:ilvl w:val="0"/>
          <w:numId w:val="1"/>
        </w:numPr>
        <w:rPr>
          <w:rFonts w:ascii="Lato" w:hAnsi="Lato"/>
          <w:sz w:val="20"/>
          <w:szCs w:val="20"/>
        </w:rPr>
      </w:pPr>
      <w:r w:rsidRPr="00202F94">
        <w:rPr>
          <w:rFonts w:ascii="Lato" w:hAnsi="Lato"/>
          <w:b/>
          <w:bCs/>
          <w:sz w:val="20"/>
          <w:szCs w:val="20"/>
        </w:rPr>
        <w:t>Benefits in Kind:</w:t>
      </w:r>
      <w:r w:rsidRPr="00202F94">
        <w:rPr>
          <w:rFonts w:ascii="Lato" w:hAnsi="Lato"/>
          <w:sz w:val="20"/>
          <w:szCs w:val="20"/>
        </w:rPr>
        <w:br/>
        <w:t xml:space="preserve">No employees received benefits in kind during the reporting </w:t>
      </w:r>
      <w:r w:rsidR="00682F58">
        <w:rPr>
          <w:rFonts w:ascii="Lato" w:hAnsi="Lato"/>
          <w:sz w:val="20"/>
          <w:szCs w:val="20"/>
        </w:rPr>
        <w:t xml:space="preserve">pay role </w:t>
      </w:r>
      <w:r w:rsidRPr="00202F94">
        <w:rPr>
          <w:rFonts w:ascii="Lato" w:hAnsi="Lato"/>
          <w:sz w:val="20"/>
          <w:szCs w:val="20"/>
        </w:rPr>
        <w:t>period.</w:t>
      </w:r>
    </w:p>
    <w:p w14:paraId="5C639467" w14:textId="37D92C36" w:rsidR="00202F94" w:rsidRPr="00202F94" w:rsidRDefault="00202F94" w:rsidP="00202F94">
      <w:pPr>
        <w:rPr>
          <w:rFonts w:ascii="Lato" w:hAnsi="Lato"/>
          <w:sz w:val="20"/>
          <w:szCs w:val="20"/>
        </w:rPr>
      </w:pPr>
    </w:p>
    <w:p w14:paraId="7341284E" w14:textId="77777777" w:rsidR="00202F94" w:rsidRPr="00202F94" w:rsidRDefault="00202F94" w:rsidP="00202F94">
      <w:pPr>
        <w:rPr>
          <w:rFonts w:ascii="Lato" w:hAnsi="Lato"/>
          <w:b/>
          <w:bCs/>
          <w:sz w:val="20"/>
          <w:szCs w:val="20"/>
        </w:rPr>
      </w:pPr>
      <w:r w:rsidRPr="00202F94">
        <w:rPr>
          <w:rFonts w:ascii="Lato" w:hAnsi="Lato"/>
          <w:b/>
          <w:bCs/>
          <w:sz w:val="20"/>
          <w:szCs w:val="20"/>
        </w:rPr>
        <w:t>4. Gender Pay Gap Metrics</w:t>
      </w:r>
    </w:p>
    <w:tbl>
      <w:tblPr>
        <w:tblW w:w="4889" w:type="dxa"/>
        <w:tblCellSpacing w:w="15" w:type="dxa"/>
        <w:tblCellMar>
          <w:top w:w="15" w:type="dxa"/>
          <w:left w:w="15" w:type="dxa"/>
          <w:bottom w:w="15" w:type="dxa"/>
          <w:right w:w="15" w:type="dxa"/>
        </w:tblCellMar>
        <w:tblLook w:val="04A0" w:firstRow="1" w:lastRow="0" w:firstColumn="1" w:lastColumn="0" w:noHBand="0" w:noVBand="1"/>
      </w:tblPr>
      <w:tblGrid>
        <w:gridCol w:w="3905"/>
        <w:gridCol w:w="984"/>
      </w:tblGrid>
      <w:tr w:rsidR="00202F94" w:rsidRPr="00202F94" w14:paraId="14D406F6" w14:textId="77777777" w:rsidTr="004D50C9">
        <w:trPr>
          <w:trHeight w:val="379"/>
          <w:tblHeader/>
          <w:tblCellSpacing w:w="15" w:type="dxa"/>
        </w:trPr>
        <w:tc>
          <w:tcPr>
            <w:tcW w:w="3860" w:type="dxa"/>
            <w:vAlign w:val="center"/>
            <w:hideMark/>
          </w:tcPr>
          <w:p w14:paraId="25B41FF7" w14:textId="77777777" w:rsidR="00202F94" w:rsidRPr="00202F94" w:rsidRDefault="00202F94" w:rsidP="00202F94">
            <w:pPr>
              <w:rPr>
                <w:rFonts w:ascii="Lato" w:hAnsi="Lato"/>
                <w:b/>
                <w:bCs/>
                <w:sz w:val="18"/>
                <w:szCs w:val="18"/>
              </w:rPr>
            </w:pPr>
            <w:r w:rsidRPr="00202F94">
              <w:rPr>
                <w:rFonts w:ascii="Lato" w:hAnsi="Lato"/>
                <w:b/>
                <w:bCs/>
                <w:sz w:val="18"/>
                <w:szCs w:val="18"/>
              </w:rPr>
              <w:t>Metric</w:t>
            </w:r>
          </w:p>
        </w:tc>
        <w:tc>
          <w:tcPr>
            <w:tcW w:w="0" w:type="auto"/>
            <w:vAlign w:val="center"/>
            <w:hideMark/>
          </w:tcPr>
          <w:p w14:paraId="0A3B024D" w14:textId="77777777" w:rsidR="00202F94" w:rsidRPr="00202F94" w:rsidRDefault="00202F94" w:rsidP="00202F94">
            <w:pPr>
              <w:rPr>
                <w:rFonts w:ascii="Lato" w:hAnsi="Lato"/>
                <w:b/>
                <w:bCs/>
                <w:sz w:val="18"/>
                <w:szCs w:val="18"/>
              </w:rPr>
            </w:pPr>
            <w:r w:rsidRPr="00202F94">
              <w:rPr>
                <w:rFonts w:ascii="Lato" w:hAnsi="Lato"/>
                <w:b/>
                <w:bCs/>
                <w:sz w:val="18"/>
                <w:szCs w:val="18"/>
              </w:rPr>
              <w:t>Percentage</w:t>
            </w:r>
          </w:p>
        </w:tc>
      </w:tr>
      <w:tr w:rsidR="00202F94" w:rsidRPr="00202F94" w14:paraId="5A20C2D1" w14:textId="77777777" w:rsidTr="004D50C9">
        <w:trPr>
          <w:trHeight w:val="379"/>
          <w:tblCellSpacing w:w="15" w:type="dxa"/>
        </w:trPr>
        <w:tc>
          <w:tcPr>
            <w:tcW w:w="3860" w:type="dxa"/>
            <w:vAlign w:val="center"/>
            <w:hideMark/>
          </w:tcPr>
          <w:p w14:paraId="251BCDAE" w14:textId="598337DF" w:rsidR="00202F94" w:rsidRPr="00202F94" w:rsidRDefault="00202F94" w:rsidP="00202F94">
            <w:pPr>
              <w:rPr>
                <w:rFonts w:ascii="Lato" w:hAnsi="Lato"/>
                <w:sz w:val="18"/>
                <w:szCs w:val="18"/>
              </w:rPr>
            </w:pPr>
            <w:r w:rsidRPr="00202F94">
              <w:rPr>
                <w:rFonts w:ascii="Lato" w:hAnsi="Lato"/>
                <w:sz w:val="18"/>
                <w:szCs w:val="18"/>
              </w:rPr>
              <w:t>Mean Gender Pay Gap</w:t>
            </w:r>
            <w:r w:rsidR="004D50C9">
              <w:rPr>
                <w:rFonts w:ascii="Lato" w:hAnsi="Lato"/>
                <w:sz w:val="18"/>
                <w:szCs w:val="18"/>
              </w:rPr>
              <w:t xml:space="preserve"> all employees</w:t>
            </w:r>
          </w:p>
        </w:tc>
        <w:tc>
          <w:tcPr>
            <w:tcW w:w="0" w:type="auto"/>
            <w:vAlign w:val="center"/>
            <w:hideMark/>
          </w:tcPr>
          <w:p w14:paraId="36AE5C89" w14:textId="77777777" w:rsidR="00202F94" w:rsidRPr="00202F94" w:rsidRDefault="00202F94" w:rsidP="00202F94">
            <w:pPr>
              <w:rPr>
                <w:rFonts w:ascii="Lato" w:hAnsi="Lato"/>
                <w:sz w:val="18"/>
                <w:szCs w:val="18"/>
              </w:rPr>
            </w:pPr>
            <w:r w:rsidRPr="00202F94">
              <w:rPr>
                <w:rFonts w:ascii="Lato" w:hAnsi="Lato"/>
                <w:sz w:val="18"/>
                <w:szCs w:val="18"/>
              </w:rPr>
              <w:t>2.15%</w:t>
            </w:r>
          </w:p>
        </w:tc>
      </w:tr>
      <w:tr w:rsidR="00202F94" w:rsidRPr="00202F94" w14:paraId="261A0273" w14:textId="77777777" w:rsidTr="004D50C9">
        <w:trPr>
          <w:trHeight w:val="394"/>
          <w:tblCellSpacing w:w="15" w:type="dxa"/>
        </w:trPr>
        <w:tc>
          <w:tcPr>
            <w:tcW w:w="3860" w:type="dxa"/>
            <w:vAlign w:val="center"/>
            <w:hideMark/>
          </w:tcPr>
          <w:p w14:paraId="35DEBDF8" w14:textId="5CD6EAB3" w:rsidR="00202F94" w:rsidRPr="00202F94" w:rsidRDefault="00202F94" w:rsidP="00202F94">
            <w:pPr>
              <w:rPr>
                <w:rFonts w:ascii="Lato" w:hAnsi="Lato"/>
                <w:sz w:val="18"/>
                <w:szCs w:val="18"/>
              </w:rPr>
            </w:pPr>
            <w:r w:rsidRPr="00202F94">
              <w:rPr>
                <w:rFonts w:ascii="Lato" w:hAnsi="Lato"/>
                <w:sz w:val="18"/>
                <w:szCs w:val="18"/>
              </w:rPr>
              <w:t>Median Gender Pay Gap</w:t>
            </w:r>
            <w:r w:rsidR="004D50C9">
              <w:rPr>
                <w:rFonts w:ascii="Lato" w:hAnsi="Lato"/>
                <w:sz w:val="18"/>
                <w:szCs w:val="18"/>
              </w:rPr>
              <w:t xml:space="preserve"> all employees </w:t>
            </w:r>
          </w:p>
        </w:tc>
        <w:tc>
          <w:tcPr>
            <w:tcW w:w="0" w:type="auto"/>
            <w:vAlign w:val="center"/>
            <w:hideMark/>
          </w:tcPr>
          <w:p w14:paraId="3D2A981A" w14:textId="77777777" w:rsidR="00202F94" w:rsidRPr="00202F94" w:rsidRDefault="00202F94" w:rsidP="00202F94">
            <w:pPr>
              <w:rPr>
                <w:rFonts w:ascii="Lato" w:hAnsi="Lato"/>
                <w:sz w:val="18"/>
                <w:szCs w:val="18"/>
              </w:rPr>
            </w:pPr>
            <w:r w:rsidRPr="00202F94">
              <w:rPr>
                <w:rFonts w:ascii="Lato" w:hAnsi="Lato"/>
                <w:sz w:val="18"/>
                <w:szCs w:val="18"/>
              </w:rPr>
              <w:t>0.57%</w:t>
            </w:r>
          </w:p>
        </w:tc>
      </w:tr>
      <w:tr w:rsidR="00202F94" w:rsidRPr="00202F94" w14:paraId="0675C63E" w14:textId="77777777" w:rsidTr="004D50C9">
        <w:trPr>
          <w:trHeight w:val="379"/>
          <w:tblCellSpacing w:w="15" w:type="dxa"/>
        </w:trPr>
        <w:tc>
          <w:tcPr>
            <w:tcW w:w="3860" w:type="dxa"/>
            <w:vAlign w:val="center"/>
            <w:hideMark/>
          </w:tcPr>
          <w:p w14:paraId="4EDCC9EC" w14:textId="679788B8" w:rsidR="00202F94" w:rsidRPr="00202F94" w:rsidRDefault="00202F94" w:rsidP="00202F94">
            <w:pPr>
              <w:rPr>
                <w:rFonts w:ascii="Lato" w:hAnsi="Lato"/>
                <w:sz w:val="18"/>
                <w:szCs w:val="18"/>
              </w:rPr>
            </w:pPr>
            <w:r w:rsidRPr="00202F94">
              <w:rPr>
                <w:rFonts w:ascii="Lato" w:hAnsi="Lato"/>
                <w:sz w:val="18"/>
                <w:szCs w:val="18"/>
              </w:rPr>
              <w:t>Mean Gender Pay Gap – Part-time</w:t>
            </w:r>
            <w:r w:rsidR="004D50C9">
              <w:rPr>
                <w:rFonts w:ascii="Lato" w:hAnsi="Lato"/>
                <w:sz w:val="18"/>
                <w:szCs w:val="18"/>
              </w:rPr>
              <w:t xml:space="preserve"> employee</w:t>
            </w:r>
          </w:p>
        </w:tc>
        <w:tc>
          <w:tcPr>
            <w:tcW w:w="0" w:type="auto"/>
            <w:vAlign w:val="center"/>
            <w:hideMark/>
          </w:tcPr>
          <w:p w14:paraId="073B3BE7" w14:textId="77777777" w:rsidR="00202F94" w:rsidRPr="00202F94" w:rsidRDefault="00202F94" w:rsidP="00202F94">
            <w:pPr>
              <w:rPr>
                <w:rFonts w:ascii="Lato" w:hAnsi="Lato"/>
                <w:sz w:val="18"/>
                <w:szCs w:val="18"/>
              </w:rPr>
            </w:pPr>
            <w:r w:rsidRPr="00202F94">
              <w:rPr>
                <w:rFonts w:ascii="Lato" w:hAnsi="Lato"/>
                <w:sz w:val="18"/>
                <w:szCs w:val="18"/>
              </w:rPr>
              <w:t>0.80%</w:t>
            </w:r>
          </w:p>
        </w:tc>
      </w:tr>
      <w:tr w:rsidR="00202F94" w:rsidRPr="00202F94" w14:paraId="45485577" w14:textId="77777777" w:rsidTr="004D50C9">
        <w:trPr>
          <w:trHeight w:val="379"/>
          <w:tblCellSpacing w:w="15" w:type="dxa"/>
        </w:trPr>
        <w:tc>
          <w:tcPr>
            <w:tcW w:w="3860" w:type="dxa"/>
            <w:vAlign w:val="center"/>
            <w:hideMark/>
          </w:tcPr>
          <w:p w14:paraId="6F42EA46" w14:textId="623D7B6C" w:rsidR="00202F94" w:rsidRPr="00202F94" w:rsidRDefault="00202F94" w:rsidP="00202F94">
            <w:pPr>
              <w:rPr>
                <w:rFonts w:ascii="Lato" w:hAnsi="Lato"/>
                <w:sz w:val="18"/>
                <w:szCs w:val="18"/>
              </w:rPr>
            </w:pPr>
            <w:r w:rsidRPr="00202F94">
              <w:rPr>
                <w:rFonts w:ascii="Lato" w:hAnsi="Lato"/>
                <w:sz w:val="18"/>
                <w:szCs w:val="18"/>
              </w:rPr>
              <w:t>Median Gender Pay Gap – Part-time</w:t>
            </w:r>
            <w:r w:rsidR="004D50C9">
              <w:rPr>
                <w:rFonts w:ascii="Lato" w:hAnsi="Lato"/>
                <w:sz w:val="18"/>
                <w:szCs w:val="18"/>
              </w:rPr>
              <w:t xml:space="preserve"> employee </w:t>
            </w:r>
          </w:p>
        </w:tc>
        <w:tc>
          <w:tcPr>
            <w:tcW w:w="0" w:type="auto"/>
            <w:vAlign w:val="center"/>
            <w:hideMark/>
          </w:tcPr>
          <w:p w14:paraId="752270A5" w14:textId="77777777" w:rsidR="00202F94" w:rsidRPr="00202F94" w:rsidRDefault="00202F94" w:rsidP="00202F94">
            <w:pPr>
              <w:rPr>
                <w:rFonts w:ascii="Lato" w:hAnsi="Lato"/>
                <w:sz w:val="18"/>
                <w:szCs w:val="18"/>
              </w:rPr>
            </w:pPr>
            <w:r w:rsidRPr="00202F94">
              <w:rPr>
                <w:rFonts w:ascii="Lato" w:hAnsi="Lato"/>
                <w:sz w:val="18"/>
                <w:szCs w:val="18"/>
              </w:rPr>
              <w:t>0.00%</w:t>
            </w:r>
          </w:p>
        </w:tc>
      </w:tr>
    </w:tbl>
    <w:p w14:paraId="030382E3" w14:textId="77777777" w:rsidR="00202F94" w:rsidRPr="00202F94" w:rsidRDefault="00202F94" w:rsidP="00202F94">
      <w:pPr>
        <w:jc w:val="both"/>
        <w:rPr>
          <w:rFonts w:ascii="Lato" w:hAnsi="Lato"/>
          <w:sz w:val="20"/>
          <w:szCs w:val="20"/>
        </w:rPr>
      </w:pPr>
      <w:r w:rsidRPr="00202F94">
        <w:rPr>
          <w:rFonts w:ascii="Lato" w:hAnsi="Lato"/>
          <w:i/>
          <w:iCs/>
          <w:sz w:val="20"/>
          <w:szCs w:val="20"/>
        </w:rPr>
        <w:t>Note: A positive percentage indicates that male pay is higher. A negative percentage indicates that female pay is higher.</w:t>
      </w:r>
    </w:p>
    <w:p w14:paraId="38C0EAF9" w14:textId="2181E511" w:rsidR="00202F94" w:rsidRPr="00202F94" w:rsidRDefault="00202F94" w:rsidP="00202F94">
      <w:pPr>
        <w:jc w:val="both"/>
        <w:rPr>
          <w:rFonts w:ascii="Lato" w:hAnsi="Lato"/>
          <w:sz w:val="20"/>
          <w:szCs w:val="20"/>
        </w:rPr>
      </w:pPr>
    </w:p>
    <w:p w14:paraId="5C032840" w14:textId="77777777" w:rsidR="00202F94" w:rsidRPr="00202F94" w:rsidRDefault="00202F94" w:rsidP="00202F94">
      <w:pPr>
        <w:jc w:val="both"/>
        <w:rPr>
          <w:rFonts w:ascii="Lato" w:hAnsi="Lato"/>
          <w:b/>
          <w:bCs/>
          <w:sz w:val="20"/>
          <w:szCs w:val="20"/>
        </w:rPr>
      </w:pPr>
      <w:r w:rsidRPr="00202F94">
        <w:rPr>
          <w:rFonts w:ascii="Lato" w:hAnsi="Lato"/>
          <w:b/>
          <w:bCs/>
          <w:sz w:val="20"/>
          <w:szCs w:val="20"/>
        </w:rPr>
        <w:t>5. Explanatory Narrative</w:t>
      </w:r>
    </w:p>
    <w:p w14:paraId="002C0F46" w14:textId="77777777" w:rsidR="00202F94" w:rsidRPr="00202F94" w:rsidRDefault="00202F94" w:rsidP="00202F94">
      <w:pPr>
        <w:jc w:val="both"/>
        <w:rPr>
          <w:rFonts w:ascii="Lato" w:hAnsi="Lato"/>
          <w:sz w:val="20"/>
          <w:szCs w:val="20"/>
        </w:rPr>
      </w:pPr>
      <w:r w:rsidRPr="00202F94">
        <w:rPr>
          <w:rFonts w:ascii="Lato" w:hAnsi="Lato"/>
          <w:sz w:val="20"/>
          <w:szCs w:val="20"/>
        </w:rPr>
        <w:t>Sligo Park Hotel is committed to fostering a diverse, inclusive, and equitable workplace for all employees. While the gender pay gap is not the same as equal pay for equal work — which is a legal requirement — we understand the importance of identifying and addressing any imbalances that may exist.</w:t>
      </w:r>
    </w:p>
    <w:p w14:paraId="355292BF" w14:textId="77777777" w:rsidR="00202F94" w:rsidRPr="00202F94" w:rsidRDefault="00202F94" w:rsidP="00202F94">
      <w:pPr>
        <w:jc w:val="both"/>
        <w:rPr>
          <w:rFonts w:ascii="Lato" w:hAnsi="Lato"/>
          <w:sz w:val="20"/>
          <w:szCs w:val="20"/>
        </w:rPr>
      </w:pPr>
      <w:r w:rsidRPr="00202F94">
        <w:rPr>
          <w:rFonts w:ascii="Lato" w:hAnsi="Lato"/>
          <w:sz w:val="20"/>
          <w:szCs w:val="20"/>
        </w:rPr>
        <w:t xml:space="preserve">Our reported gender pay gap compares favourably to the national average in Ireland, which stood at </w:t>
      </w:r>
      <w:r w:rsidRPr="00202F94">
        <w:rPr>
          <w:rFonts w:ascii="Lato" w:hAnsi="Lato"/>
          <w:b/>
          <w:bCs/>
          <w:sz w:val="20"/>
          <w:szCs w:val="20"/>
        </w:rPr>
        <w:t>9.6%</w:t>
      </w:r>
      <w:r w:rsidRPr="00202F94">
        <w:rPr>
          <w:rFonts w:ascii="Lato" w:hAnsi="Lato"/>
          <w:sz w:val="20"/>
          <w:szCs w:val="20"/>
        </w:rPr>
        <w:t xml:space="preserve"> in 2022 (Eurostat), and the EU average of </w:t>
      </w:r>
      <w:r w:rsidRPr="00202F94">
        <w:rPr>
          <w:rFonts w:ascii="Lato" w:hAnsi="Lato"/>
          <w:b/>
          <w:bCs/>
          <w:sz w:val="20"/>
          <w:szCs w:val="20"/>
        </w:rPr>
        <w:t>12.7%</w:t>
      </w:r>
      <w:r w:rsidRPr="00202F94">
        <w:rPr>
          <w:rFonts w:ascii="Lato" w:hAnsi="Lato"/>
          <w:sz w:val="20"/>
          <w:szCs w:val="20"/>
        </w:rPr>
        <w:t>.</w:t>
      </w:r>
    </w:p>
    <w:p w14:paraId="3BD48A92" w14:textId="77777777" w:rsidR="00202F94" w:rsidRPr="00202F94" w:rsidRDefault="00202F94" w:rsidP="00202F94">
      <w:pPr>
        <w:jc w:val="both"/>
        <w:rPr>
          <w:rFonts w:ascii="Lato" w:hAnsi="Lato"/>
          <w:sz w:val="20"/>
          <w:szCs w:val="20"/>
        </w:rPr>
      </w:pPr>
      <w:r w:rsidRPr="00202F94">
        <w:rPr>
          <w:rFonts w:ascii="Lato" w:hAnsi="Lato"/>
          <w:sz w:val="20"/>
          <w:szCs w:val="20"/>
        </w:rPr>
        <w:t>The current gap is influenced by the structure and role distribution within our workforce. We continue to monitor and enhance our recruitment, progression, training, and flexible working practices to ensure a fair and supportive environment for everyone.</w:t>
      </w:r>
    </w:p>
    <w:p w14:paraId="63D4DB74" w14:textId="0F3D81AA" w:rsidR="00202F94" w:rsidRPr="00202F94" w:rsidRDefault="00202F94" w:rsidP="00202F94">
      <w:pPr>
        <w:jc w:val="both"/>
        <w:rPr>
          <w:rFonts w:ascii="Lato" w:hAnsi="Lato"/>
          <w:sz w:val="20"/>
          <w:szCs w:val="20"/>
        </w:rPr>
      </w:pPr>
    </w:p>
    <w:p w14:paraId="77F3D7DD" w14:textId="77777777" w:rsidR="00202F94" w:rsidRPr="00202F94" w:rsidRDefault="00202F94" w:rsidP="00202F94">
      <w:pPr>
        <w:jc w:val="both"/>
        <w:rPr>
          <w:rFonts w:ascii="Lato" w:hAnsi="Lato"/>
          <w:b/>
          <w:bCs/>
          <w:sz w:val="20"/>
          <w:szCs w:val="20"/>
        </w:rPr>
      </w:pPr>
      <w:r w:rsidRPr="00202F94">
        <w:rPr>
          <w:rFonts w:ascii="Lato" w:hAnsi="Lato"/>
          <w:b/>
          <w:bCs/>
          <w:sz w:val="20"/>
          <w:szCs w:val="20"/>
        </w:rPr>
        <w:t>6. Actions to Address the Gender Pay Gap</w:t>
      </w:r>
    </w:p>
    <w:p w14:paraId="60AD3A9C" w14:textId="77777777" w:rsidR="00202F94" w:rsidRPr="00202F94" w:rsidRDefault="00202F94" w:rsidP="00202F94">
      <w:pPr>
        <w:jc w:val="both"/>
        <w:rPr>
          <w:rFonts w:ascii="Lato" w:hAnsi="Lato"/>
          <w:sz w:val="20"/>
          <w:szCs w:val="20"/>
        </w:rPr>
      </w:pPr>
      <w:r w:rsidRPr="00202F94">
        <w:rPr>
          <w:rFonts w:ascii="Lato" w:hAnsi="Lato"/>
          <w:sz w:val="20"/>
          <w:szCs w:val="20"/>
        </w:rPr>
        <w:t>While the figures reported reflect the current composition of our workforce, we are actively working to improve gender representation and pay equity through the following measures:</w:t>
      </w:r>
    </w:p>
    <w:p w14:paraId="70AE604A" w14:textId="77777777" w:rsidR="00202F94" w:rsidRPr="00202F94" w:rsidRDefault="00202F94" w:rsidP="00202F94">
      <w:pPr>
        <w:numPr>
          <w:ilvl w:val="0"/>
          <w:numId w:val="2"/>
        </w:numPr>
        <w:jc w:val="both"/>
        <w:rPr>
          <w:rFonts w:ascii="Lato" w:hAnsi="Lato"/>
          <w:sz w:val="20"/>
          <w:szCs w:val="20"/>
        </w:rPr>
      </w:pPr>
      <w:r w:rsidRPr="00202F94">
        <w:rPr>
          <w:rFonts w:ascii="Lato" w:hAnsi="Lato"/>
          <w:sz w:val="20"/>
          <w:szCs w:val="20"/>
        </w:rPr>
        <w:t>Regular reviews of pay and progression practices</w:t>
      </w:r>
    </w:p>
    <w:p w14:paraId="6CB0ED1E" w14:textId="77777777" w:rsidR="00202F94" w:rsidRPr="00202F94" w:rsidRDefault="00202F94" w:rsidP="00202F94">
      <w:pPr>
        <w:numPr>
          <w:ilvl w:val="0"/>
          <w:numId w:val="2"/>
        </w:numPr>
        <w:jc w:val="both"/>
        <w:rPr>
          <w:rFonts w:ascii="Lato" w:hAnsi="Lato"/>
          <w:sz w:val="20"/>
          <w:szCs w:val="20"/>
        </w:rPr>
      </w:pPr>
      <w:r w:rsidRPr="00202F94">
        <w:rPr>
          <w:rFonts w:ascii="Lato" w:hAnsi="Lato"/>
          <w:sz w:val="20"/>
          <w:szCs w:val="20"/>
        </w:rPr>
        <w:t>Ongoing support for flexible working arrangements</w:t>
      </w:r>
    </w:p>
    <w:p w14:paraId="5A858A03" w14:textId="77777777" w:rsidR="00202F94" w:rsidRPr="00202F94" w:rsidRDefault="00202F94" w:rsidP="00202F94">
      <w:pPr>
        <w:numPr>
          <w:ilvl w:val="0"/>
          <w:numId w:val="2"/>
        </w:numPr>
        <w:jc w:val="both"/>
        <w:rPr>
          <w:rFonts w:ascii="Lato" w:hAnsi="Lato"/>
          <w:sz w:val="20"/>
          <w:szCs w:val="20"/>
        </w:rPr>
      </w:pPr>
      <w:r w:rsidRPr="00202F94">
        <w:rPr>
          <w:rFonts w:ascii="Lato" w:hAnsi="Lato"/>
          <w:sz w:val="20"/>
          <w:szCs w:val="20"/>
        </w:rPr>
        <w:t>Equitable access to training and career development</w:t>
      </w:r>
    </w:p>
    <w:p w14:paraId="500C8781" w14:textId="77777777" w:rsidR="00202F94" w:rsidRPr="00202F94" w:rsidRDefault="00202F94" w:rsidP="00202F94">
      <w:pPr>
        <w:numPr>
          <w:ilvl w:val="0"/>
          <w:numId w:val="2"/>
        </w:numPr>
        <w:jc w:val="both"/>
        <w:rPr>
          <w:rFonts w:ascii="Lato" w:hAnsi="Lato"/>
          <w:sz w:val="20"/>
          <w:szCs w:val="20"/>
        </w:rPr>
      </w:pPr>
      <w:r w:rsidRPr="00202F94">
        <w:rPr>
          <w:rFonts w:ascii="Lato" w:hAnsi="Lato"/>
          <w:sz w:val="20"/>
          <w:szCs w:val="20"/>
        </w:rPr>
        <w:t>Promotion of female participation in leadership and higher-paid roles</w:t>
      </w:r>
    </w:p>
    <w:p w14:paraId="0BB747B8" w14:textId="45A40AFC" w:rsidR="00202F94" w:rsidRPr="00202F94" w:rsidRDefault="00202F94" w:rsidP="00202F94">
      <w:pPr>
        <w:rPr>
          <w:rFonts w:ascii="Lato" w:hAnsi="Lato"/>
          <w:sz w:val="20"/>
          <w:szCs w:val="20"/>
        </w:rPr>
      </w:pPr>
    </w:p>
    <w:p w14:paraId="114707E2" w14:textId="77777777" w:rsidR="00202F94" w:rsidRPr="00202F94" w:rsidRDefault="00202F94" w:rsidP="00202F94">
      <w:pPr>
        <w:rPr>
          <w:rFonts w:ascii="Lato" w:hAnsi="Lato"/>
          <w:sz w:val="20"/>
          <w:szCs w:val="20"/>
        </w:rPr>
      </w:pPr>
      <w:r w:rsidRPr="00202F94">
        <w:rPr>
          <w:rFonts w:ascii="Lato" w:hAnsi="Lato"/>
          <w:b/>
          <w:bCs/>
          <w:sz w:val="20"/>
          <w:szCs w:val="20"/>
        </w:rPr>
        <w:t>Date:</w:t>
      </w:r>
      <w:r w:rsidRPr="00202F94">
        <w:rPr>
          <w:rFonts w:ascii="Lato" w:hAnsi="Lato"/>
          <w:sz w:val="20"/>
          <w:szCs w:val="20"/>
        </w:rPr>
        <w:t xml:space="preserve"> 30th July 2025</w:t>
      </w:r>
    </w:p>
    <w:p w14:paraId="7BDA1C7F" w14:textId="77777777" w:rsidR="00BD036D" w:rsidRPr="00202F94" w:rsidRDefault="00BD036D">
      <w:pPr>
        <w:rPr>
          <w:rFonts w:ascii="Lato" w:hAnsi="Lato"/>
          <w:sz w:val="20"/>
          <w:szCs w:val="20"/>
        </w:rPr>
      </w:pPr>
    </w:p>
    <w:sectPr w:rsidR="00BD036D" w:rsidRPr="00202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altName w:val="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B1CC7"/>
    <w:multiLevelType w:val="multilevel"/>
    <w:tmpl w:val="75DC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5259F"/>
    <w:multiLevelType w:val="multilevel"/>
    <w:tmpl w:val="1C66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594353">
    <w:abstractNumId w:val="0"/>
  </w:num>
  <w:num w:numId="2" w16cid:durableId="1757166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94"/>
    <w:rsid w:val="00202F94"/>
    <w:rsid w:val="004B3A22"/>
    <w:rsid w:val="004D50C9"/>
    <w:rsid w:val="00682F58"/>
    <w:rsid w:val="006A64D8"/>
    <w:rsid w:val="00873FA6"/>
    <w:rsid w:val="009D3DAC"/>
    <w:rsid w:val="00BD03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2287"/>
  <w15:chartTrackingRefBased/>
  <w15:docId w15:val="{7A36E317-E381-468A-B838-A3DFAB24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F94"/>
    <w:rPr>
      <w:rFonts w:eastAsiaTheme="majorEastAsia" w:cstheme="majorBidi"/>
      <w:color w:val="272727" w:themeColor="text1" w:themeTint="D8"/>
    </w:rPr>
  </w:style>
  <w:style w:type="paragraph" w:styleId="Title">
    <w:name w:val="Title"/>
    <w:basedOn w:val="Normal"/>
    <w:next w:val="Normal"/>
    <w:link w:val="TitleChar"/>
    <w:uiPriority w:val="10"/>
    <w:qFormat/>
    <w:rsid w:val="00202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F94"/>
    <w:pPr>
      <w:spacing w:before="160"/>
      <w:jc w:val="center"/>
    </w:pPr>
    <w:rPr>
      <w:i/>
      <w:iCs/>
      <w:color w:val="404040" w:themeColor="text1" w:themeTint="BF"/>
    </w:rPr>
  </w:style>
  <w:style w:type="character" w:customStyle="1" w:styleId="QuoteChar">
    <w:name w:val="Quote Char"/>
    <w:basedOn w:val="DefaultParagraphFont"/>
    <w:link w:val="Quote"/>
    <w:uiPriority w:val="29"/>
    <w:rsid w:val="00202F94"/>
    <w:rPr>
      <w:i/>
      <w:iCs/>
      <w:color w:val="404040" w:themeColor="text1" w:themeTint="BF"/>
    </w:rPr>
  </w:style>
  <w:style w:type="paragraph" w:styleId="ListParagraph">
    <w:name w:val="List Paragraph"/>
    <w:basedOn w:val="Normal"/>
    <w:uiPriority w:val="34"/>
    <w:qFormat/>
    <w:rsid w:val="00202F94"/>
    <w:pPr>
      <w:ind w:left="720"/>
      <w:contextualSpacing/>
    </w:pPr>
  </w:style>
  <w:style w:type="character" w:styleId="IntenseEmphasis">
    <w:name w:val="Intense Emphasis"/>
    <w:basedOn w:val="DefaultParagraphFont"/>
    <w:uiPriority w:val="21"/>
    <w:qFormat/>
    <w:rsid w:val="00202F94"/>
    <w:rPr>
      <w:i/>
      <w:iCs/>
      <w:color w:val="0F4761" w:themeColor="accent1" w:themeShade="BF"/>
    </w:rPr>
  </w:style>
  <w:style w:type="paragraph" w:styleId="IntenseQuote">
    <w:name w:val="Intense Quote"/>
    <w:basedOn w:val="Normal"/>
    <w:next w:val="Normal"/>
    <w:link w:val="IntenseQuoteChar"/>
    <w:uiPriority w:val="30"/>
    <w:qFormat/>
    <w:rsid w:val="0020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F94"/>
    <w:rPr>
      <w:i/>
      <w:iCs/>
      <w:color w:val="0F4761" w:themeColor="accent1" w:themeShade="BF"/>
    </w:rPr>
  </w:style>
  <w:style w:type="character" w:styleId="IntenseReference">
    <w:name w:val="Intense Reference"/>
    <w:basedOn w:val="DefaultParagraphFont"/>
    <w:uiPriority w:val="32"/>
    <w:qFormat/>
    <w:rsid w:val="00202F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Moore</dc:creator>
  <cp:keywords/>
  <dc:description/>
  <cp:lastModifiedBy>Edel McPartland</cp:lastModifiedBy>
  <cp:revision>2</cp:revision>
  <cp:lastPrinted>2025-07-30T13:15:00Z</cp:lastPrinted>
  <dcterms:created xsi:type="dcterms:W3CDTF">2025-08-14T09:49:00Z</dcterms:created>
  <dcterms:modified xsi:type="dcterms:W3CDTF">2025-08-14T09:49:00Z</dcterms:modified>
</cp:coreProperties>
</file>